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99666D">
        <w:rPr>
          <w:rFonts w:ascii="Verdana" w:hAnsi="Verdana"/>
          <w:b/>
          <w:sz w:val="18"/>
          <w:szCs w:val="18"/>
        </w:rPr>
        <w:t>„</w:t>
      </w:r>
      <w:r w:rsidR="0099666D" w:rsidRPr="0099666D">
        <w:rPr>
          <w:rFonts w:ascii="Verdana" w:hAnsi="Verdana"/>
          <w:b/>
          <w:sz w:val="18"/>
          <w:szCs w:val="18"/>
        </w:rPr>
        <w:t>Oprava geometrických parametrů koleje 2020 u ST Ústí nad Labem</w:t>
      </w:r>
      <w:r w:rsidR="00AF2031" w:rsidRPr="0099666D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9666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9666D" w:rsidRPr="0099666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666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1AAFC1"/>
  <w15:docId w15:val="{8E8EDE0A-6D1B-4AB2-A8B9-1B4A76AC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88910B-41ED-45E6-B8CD-46247ED8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2020-05-25T08:42:00Z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